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b="0" l="0" r="0" t="0"/>
            <wp:wrapSquare wrapText="bothSides" distB="0" distT="0" distL="114300" distR="114300"/>
            <wp:docPr id="23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4198620</wp:posOffset>
                </wp:positionV>
                <wp:extent cx="4425950" cy="683260"/>
                <wp:effectExtent b="0" l="0" r="0" t="0"/>
                <wp:wrapSquare wrapText="bothSides" distB="45720" distT="45720" distL="114300" distR="114300"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142550" y="3447895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Numerele magice!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4198620</wp:posOffset>
                </wp:positionV>
                <wp:extent cx="4425950" cy="683260"/>
                <wp:effectExtent b="0" l="0" r="0" t="0"/>
                <wp:wrapSquare wrapText="bothSides" distB="45720" distT="45720" distL="114300" distR="114300"/>
                <wp:docPr id="2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5950" cy="683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4909820</wp:posOffset>
                </wp:positionV>
                <wp:extent cx="2675890" cy="683260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UL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4909820</wp:posOffset>
                </wp:positionV>
                <wp:extent cx="2675890" cy="683260"/>
                <wp:effectExtent b="0" l="0" r="0" t="0"/>
                <wp:wrapSquare wrapText="bothSides" distB="45720" distT="45720" distL="114300" distR="114300"/>
                <wp:docPr id="23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5890" cy="683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240" w:lineRule="auto"/>
        <w:rPr>
          <w:color w:val="595959"/>
          <w:sz w:val="24"/>
          <w:szCs w:val="24"/>
        </w:rPr>
      </w:pPr>
      <w:r w:rsidDel="00000000" w:rsidR="00000000" w:rsidRPr="00000000">
        <w:rPr>
          <w:b w:val="1"/>
          <w:i w:val="1"/>
          <w:color w:val="56698f"/>
          <w:sz w:val="24"/>
          <w:szCs w:val="24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652146</wp:posOffset>
                </wp:positionH>
                <wp:positionV relativeFrom="page">
                  <wp:posOffset>1357581</wp:posOffset>
                </wp:positionV>
                <wp:extent cx="6402598" cy="2054884"/>
                <wp:effectExtent b="0" l="0" r="0" t="0"/>
                <wp:wrapNone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54226" y="2762083"/>
                          <a:ext cx="6383548" cy="203583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652146</wp:posOffset>
                </wp:positionH>
                <wp:positionV relativeFrom="page">
                  <wp:posOffset>1357581</wp:posOffset>
                </wp:positionV>
                <wp:extent cx="6402598" cy="2054884"/>
                <wp:effectExtent b="0" l="0" r="0" t="0"/>
                <wp:wrapNone/>
                <wp:docPr id="2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598" cy="20548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sz w:val="24"/>
          <w:szCs w:val="24"/>
          <w:rtl w:val="0"/>
        </w:rPr>
        <w:t xml:space="preserve">Titlul scenariului/denumirea jocului: </w:t>
      </w:r>
      <w:r w:rsidDel="00000000" w:rsidR="00000000" w:rsidRPr="00000000">
        <w:rPr>
          <w:rFonts w:ascii="Calibri" w:cs="Calibri" w:eastAsia="Calibri" w:hAnsi="Calibri"/>
          <w:color w:val="595959"/>
          <w:sz w:val="24"/>
          <w:szCs w:val="24"/>
          <w:rtl w:val="0"/>
        </w:rPr>
        <w:t xml:space="preserve">Numerele magice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Vârsta copiilor (elevi de școală primară): </w:t>
      </w:r>
      <w:r w:rsidDel="00000000" w:rsidR="00000000" w:rsidRPr="00000000">
        <w:rPr>
          <w:rtl w:val="0"/>
        </w:rPr>
        <w:t xml:space="preserve">6-7 ani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Timpul necesar: </w:t>
      </w:r>
      <w:r w:rsidDel="00000000" w:rsidR="00000000" w:rsidRPr="00000000">
        <w:rPr>
          <w:rtl w:val="0"/>
        </w:rPr>
        <w:t xml:space="preserve">15 minute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Rule="auto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Conținut/subiect: </w:t>
      </w:r>
      <w:r w:rsidDel="00000000" w:rsidR="00000000" w:rsidRPr="00000000">
        <w:rPr>
          <w:rtl w:val="0"/>
        </w:rPr>
        <w:t xml:space="preserve">Numerele 1-10</w:t>
      </w:r>
    </w:p>
    <w:p w:rsidR="00000000" w:rsidDel="00000000" w:rsidP="00000000" w:rsidRDefault="00000000" w:rsidRPr="00000000" w14:paraId="00000006">
      <w:pPr>
        <w:spacing w:after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Scopul activității: </w:t>
      </w:r>
      <w:r w:rsidDel="00000000" w:rsidR="00000000" w:rsidRPr="00000000">
        <w:rPr>
          <w:rtl w:val="0"/>
        </w:rPr>
        <w:t xml:space="preserve">Modelarea, reprezentarea numerelor până la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Introducere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Acest joc are ca scop dezvoltarea gândirii logice folosind numerele ca pretext de joc. Povestea jocului, adaptată vârstei elevilor, îi va purta pe aceștia într-un scenariu în care vor putea manipula numere.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Resurse: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Robot programabil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Jocul numerelor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56698f"/>
          <w:rtl w:val="0"/>
        </w:rPr>
        <w:t xml:space="preserve">Carduri cu numere, carduri cu puncte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O descriere detaliată a scenariului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Numerele pot face magie. Numerele împreună fac lucruri miraculoase. Deveniți un magician și faceți magie din numere!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Pași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Decideți împreună de ce număr de mașini aveți nevoie.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Decideți împreună de ce carduri de puncte aveți nevoie.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Explorați sarcina pe harta digitală a sarcinilor.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Aranjează cărțile pentru a se potrivi cu harta digitală.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Compară sarcina de pe harta digitală a sarcinilor cu sarcina rezolvată.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360" w:hanging="360"/>
        <w:rPr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Obțineți o nouă sarcină pe harta digitală a sarcinilor.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b w:val="1"/>
          <w:smallCaps w:val="1"/>
          <w:color w:val="595959"/>
        </w:rPr>
      </w:pPr>
      <w:r w:rsidDel="00000000" w:rsidR="00000000" w:rsidRPr="00000000">
        <w:rPr>
          <w:rFonts w:ascii="Calibri" w:cs="Calibri" w:eastAsia="Calibri" w:hAnsi="Calibri"/>
          <w:color w:val="595959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Sfaturi și trucuri pentru profesor</w:t>
      </w:r>
    </w:p>
    <w:p w:rsidR="00000000" w:rsidDel="00000000" w:rsidP="00000000" w:rsidRDefault="00000000" w:rsidRPr="00000000" w14:paraId="0000001A">
      <w:pPr>
        <w:ind w:left="360" w:firstLine="0"/>
        <w:rPr/>
      </w:pPr>
      <w:r w:rsidDel="00000000" w:rsidR="00000000" w:rsidRPr="00000000">
        <w:rPr>
          <w:rtl w:val="0"/>
        </w:rPr>
        <w:t xml:space="preserve">Dați instrucțiuni la începutul jocului!</w:t>
      </w:r>
    </w:p>
    <w:p w:rsidR="00000000" w:rsidDel="00000000" w:rsidP="00000000" w:rsidRDefault="00000000" w:rsidRPr="00000000" w14:paraId="0000001B">
      <w:pPr>
        <w:ind w:left="360" w:firstLine="0"/>
        <w:rPr/>
      </w:pPr>
      <w:r w:rsidDel="00000000" w:rsidR="00000000" w:rsidRPr="00000000">
        <w:rPr>
          <w:rtl w:val="0"/>
        </w:rPr>
        <w:t xml:space="preserve">Lăsați copiii să facă greșeli. Să încerce din nou și să descopere eroarea face parte din joc!</w:t>
      </w:r>
    </w:p>
    <w:p w:rsidR="00000000" w:rsidDel="00000000" w:rsidP="00000000" w:rsidRDefault="00000000" w:rsidRPr="00000000" w14:paraId="0000001C">
      <w:pPr>
        <w:ind w:left="360" w:firstLine="0"/>
        <w:rPr/>
      </w:pPr>
      <w:r w:rsidDel="00000000" w:rsidR="00000000" w:rsidRPr="00000000">
        <w:rPr>
          <w:rtl w:val="0"/>
        </w:rPr>
        <w:t xml:space="preserve">Jucați jocul în echipe pentru a adăuga competiție, dacă aveți ca scop creșterea vitezei de rezolvare a sarcinilor!</w:t>
      </w:r>
    </w:p>
    <w:p w:rsidR="00000000" w:rsidDel="00000000" w:rsidP="00000000" w:rsidRDefault="00000000" w:rsidRPr="00000000" w14:paraId="0000001D">
      <w:pPr>
        <w:ind w:left="360" w:firstLine="0"/>
        <w:rPr/>
      </w:pPr>
      <w:r w:rsidDel="00000000" w:rsidR="00000000" w:rsidRPr="00000000">
        <w:rPr>
          <w:rtl w:val="0"/>
        </w:rPr>
        <w:t xml:space="preserve">Acest joc îi introduce pe elevi în lumea numerelor, ajutându-i să înțeleagă că numerele nu sunt doar simboluri, ci indică de fapt o cantitate.</w:t>
      </w:r>
    </w:p>
    <w:p w:rsidR="00000000" w:rsidDel="00000000" w:rsidP="00000000" w:rsidRDefault="00000000" w:rsidRPr="00000000" w14:paraId="0000001E">
      <w:pPr>
        <w:ind w:left="360" w:firstLine="0"/>
        <w:rPr/>
      </w:pPr>
      <w:r w:rsidDel="00000000" w:rsidR="00000000" w:rsidRPr="00000000">
        <w:rPr>
          <w:rtl w:val="0"/>
        </w:rPr>
        <w:t xml:space="preserve">Jocul include activități legate de adunare, scădere și înmulțire, dezvoltând astfel abilitățile elevilor în aceste domenii.</w:t>
      </w:r>
    </w:p>
    <w:p w:rsidR="00000000" w:rsidDel="00000000" w:rsidP="00000000" w:rsidRDefault="00000000" w:rsidRPr="00000000" w14:paraId="0000001F">
      <w:pPr>
        <w:ind w:left="360" w:firstLine="0"/>
        <w:rPr/>
      </w:pPr>
      <w:r w:rsidDel="00000000" w:rsidR="00000000" w:rsidRPr="00000000">
        <w:rPr>
          <w:rtl w:val="0"/>
        </w:rPr>
        <w:t xml:space="preserve">Jocul oferă o oportunitate de a înțelege succesiunea numerelor și relațiile dintre diferite numere.</w:t>
      </w:r>
    </w:p>
    <w:p w:rsidR="00000000" w:rsidDel="00000000" w:rsidP="00000000" w:rsidRDefault="00000000" w:rsidRPr="00000000" w14:paraId="00000020">
      <w:pPr>
        <w:ind w:left="360" w:firstLine="0"/>
        <w:rPr/>
      </w:pPr>
      <w:r w:rsidDel="00000000" w:rsidR="00000000" w:rsidRPr="00000000">
        <w:rPr>
          <w:rtl w:val="0"/>
        </w:rPr>
        <w:t xml:space="preserve">"Numbers" necesită timp și răbdare pentru a fi învățat și jucat cu succes. Acesta dezvoltă abilitățile de percepție ale copiilor și capacitatea de concentrare asupra sarcinii.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Variante ale scenariului/jocului 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Elevii pot elabora sarcina sub formă de manual (vezi figura 1)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366"/>
        <w:gridCol w:w="1694"/>
        <w:gridCol w:w="10"/>
        <w:tblGridChange w:id="0">
          <w:tblGrid>
            <w:gridCol w:w="7366"/>
            <w:gridCol w:w="1694"/>
            <w:gridCol w:w="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055620" cy="1775460"/>
                  <wp:effectExtent b="0" l="0" r="0" t="0"/>
                  <wp:docPr id="23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18383" l="30693" r="16250" t="26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775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Găsiți 1!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948940" cy="1478280"/>
                  <wp:effectExtent b="0" l="0" r="0" t="0"/>
                  <wp:docPr id="23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32027" l="32415" r="16382" t="22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478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Găsiți 2!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811780" cy="1760220"/>
                  <wp:effectExtent b="0" l="0" r="0" t="0"/>
                  <wp:docPr id="23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22853" l="34399" r="16780" t="22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760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Găsiți 3!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811780" cy="1463040"/>
                  <wp:effectExtent b="0" l="0" r="0" t="0"/>
                  <wp:docPr id="23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32262" l="34002" r="17177" t="22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463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Găsiți 4!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956560" cy="1432560"/>
                  <wp:effectExtent b="0" l="0" r="0" t="0"/>
                  <wp:docPr id="23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31792" l="32282" r="16381" t="23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1432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Găsiți 5!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1399b1"/>
                <w:rtl w:val="0"/>
              </w:rPr>
              <w:t xml:space="preserve">Figura 1 Sarcina </w:t>
            </w:r>
            <w:r w:rsidDel="00000000" w:rsidR="00000000" w:rsidRPr="00000000">
              <w:rPr>
                <w:color w:val="000000"/>
                <w:rtl w:val="0"/>
              </w:rPr>
              <w:t xml:space="preserve">(Anspoka, Birzgale, Dzērve, Helmane, Leite, 2011)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b w:val="1"/>
          <w:i w:val="1"/>
          <w:color w:val="1399b1"/>
          <w:rtl w:val="0"/>
        </w:rPr>
        <w:t xml:space="preserve">Literatură</w:t>
      </w:r>
      <w:r w:rsidDel="00000000" w:rsidR="00000000" w:rsidRPr="00000000">
        <w:rPr>
          <w:b w:val="1"/>
          <w:color w:val="1399b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Anspoka, Z., Birzgale, E., Dzērve, I., Helmane, I., Leite, I. (2011). </w:t>
      </w:r>
      <w:r w:rsidDel="00000000" w:rsidR="00000000" w:rsidRPr="00000000">
        <w:rPr>
          <w:i w:val="1"/>
          <w:color w:val="000000"/>
          <w:rtl w:val="0"/>
        </w:rPr>
        <w:t xml:space="preserve">Sākam mācīties! Otrā grāmata. </w:t>
      </w:r>
      <w:r w:rsidDel="00000000" w:rsidR="00000000" w:rsidRPr="00000000">
        <w:rPr>
          <w:color w:val="000000"/>
          <w:rtl w:val="0"/>
        </w:rPr>
        <w:t xml:space="preserve">Lielvārds (în letonă).   </w:t>
      </w:r>
    </w:p>
    <w:p w:rsidR="00000000" w:rsidDel="00000000" w:rsidP="00000000" w:rsidRDefault="00000000" w:rsidRPr="00000000" w14:paraId="0000003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418" w:top="872" w:left="1418" w:right="1418" w:header="82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95959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b="0" l="0" r="0" t="0"/>
          <wp:wrapSquare wrapText="bothSides" distB="0" distT="0" distL="114300" distR="114300"/>
          <wp:docPr id="23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95959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00" w:lineRule="auto"/>
      <w:jc w:val="center"/>
    </w:pPr>
    <w:rPr>
      <w:b w:val="1"/>
      <w:smallCaps w:val="1"/>
      <w:color w:val="1399b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100" w:before="240" w:lineRule="auto"/>
    </w:pPr>
    <w:rPr>
      <w:b w:val="1"/>
      <w:color w:val="56698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b w:val="1"/>
      <w:color w:val="ffffff"/>
      <w:sz w:val="72"/>
      <w:szCs w:val="72"/>
    </w:rPr>
  </w:style>
  <w:style w:type="paragraph" w:styleId="Normal" w:default="1">
    <w:name w:val="Normal"/>
    <w:qFormat w:val="1"/>
    <w:rsid w:val="00CB40A4"/>
    <w:rPr>
      <w:color w:val="595959" w:themeColor="text1" w:themeTint="0000A6"/>
    </w:rPr>
  </w:style>
  <w:style w:type="paragraph" w:styleId="Titlu1">
    <w:name w:val="heading 1"/>
    <w:basedOn w:val="Normal"/>
    <w:next w:val="Normal"/>
    <w:link w:val="Titlu1Caracter"/>
    <w:uiPriority w:val="9"/>
    <w:qFormat w:val="1"/>
    <w:rsid w:val="002A624A"/>
    <w:pPr>
      <w:keepNext w:val="1"/>
      <w:keepLines w:val="1"/>
      <w:spacing w:before="300"/>
      <w:jc w:val="center"/>
      <w:outlineLvl w:val="0"/>
    </w:pPr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 w:val="1"/>
    <w:qFormat w:val="1"/>
    <w:rsid w:val="002A624A"/>
    <w:pPr>
      <w:keepNext w:val="1"/>
      <w:keepLines w:val="1"/>
      <w:spacing w:after="100" w:before="240"/>
      <w:outlineLvl w:val="1"/>
    </w:pPr>
    <w:rPr>
      <w:rFonts w:cstheme="majorBidi" w:eastAsiaTheme="majorEastAsia"/>
      <w:b w:val="1"/>
      <w:color w:val="56698f"/>
      <w:sz w:val="28"/>
      <w:szCs w:val="26"/>
    </w:rPr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paragraph" w:styleId="Listparagraf">
    <w:name w:val="List Paragraph"/>
    <w:basedOn w:val="Normal"/>
    <w:uiPriority w:val="34"/>
    <w:qFormat w:val="1"/>
    <w:rsid w:val="00141CB5"/>
    <w:pPr>
      <w:ind w:left="720"/>
      <w:contextualSpacing w:val="1"/>
    </w:pPr>
  </w:style>
  <w:style w:type="character" w:styleId="word" w:customStyle="1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 w:val="1"/>
    <w:rsid w:val="00185637"/>
    <w:rPr>
      <w:color w:val="0563c1" w:themeColor="hyperlink"/>
      <w:u w:val="single"/>
    </w:rPr>
  </w:style>
  <w:style w:type="character" w:styleId="MeniuneNerezolvat1" w:customStyle="1">
    <w:name w:val="Mențiune Nerezolvat1"/>
    <w:basedOn w:val="Fontdeparagrafimplicit"/>
    <w:uiPriority w:val="99"/>
    <w:semiHidden w:val="1"/>
    <w:unhideWhenUsed w:val="1"/>
    <w:rsid w:val="00185637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unhideWhenUsed w:val="1"/>
    <w:rsid w:val="003525D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Titlu1Caracter" w:customStyle="1">
    <w:name w:val="Titlu 1 Caracter"/>
    <w:basedOn w:val="Fontdeparagrafimplicit"/>
    <w:link w:val="Titlu1"/>
    <w:uiPriority w:val="9"/>
    <w:rsid w:val="002A624A"/>
    <w:rPr>
      <w:rFonts w:cstheme="majorBidi" w:eastAsiaTheme="majorEastAsia"/>
      <w:b w:val="1"/>
      <w:caps w:val="1"/>
      <w:color w:val="1399b1"/>
      <w:sz w:val="28"/>
      <w:szCs w:val="32"/>
    </w:rPr>
  </w:style>
  <w:style w:type="paragraph" w:styleId="Frspaiere">
    <w:name w:val="No Spacing"/>
    <w:uiPriority w:val="1"/>
    <w:qFormat w:val="1"/>
    <w:rsid w:val="00CB40A4"/>
    <w:pPr>
      <w:spacing w:after="0" w:line="240" w:lineRule="auto"/>
    </w:pPr>
    <w:rPr>
      <w:color w:val="595959" w:themeColor="text1" w:themeTint="0000A6"/>
      <w:sz w:val="24"/>
    </w:rPr>
  </w:style>
  <w:style w:type="character" w:styleId="Accentuat">
    <w:name w:val="Emphasis"/>
    <w:basedOn w:val="Fontdeparagrafimplicit"/>
    <w:uiPriority w:val="20"/>
    <w:qFormat w:val="1"/>
    <w:rsid w:val="00CB40A4"/>
    <w:rPr>
      <w:rFonts w:asciiTheme="minorHAnsi" w:hAnsiTheme="minorHAnsi"/>
      <w:b w:val="1"/>
      <w:i w:val="1"/>
      <w:iCs w:val="1"/>
      <w:color w:val="56698f"/>
    </w:rPr>
  </w:style>
  <w:style w:type="character" w:styleId="Accentuaresubtil">
    <w:name w:val="Subtle Emphasis"/>
    <w:basedOn w:val="Fontdeparagrafimplicit"/>
    <w:uiPriority w:val="19"/>
    <w:qFormat w:val="1"/>
    <w:rsid w:val="00CB40A4"/>
    <w:rPr>
      <w:i w:val="1"/>
      <w:iCs w:val="1"/>
      <w:color w:val="404040" w:themeColor="text1" w:themeTint="0000BF"/>
    </w:rPr>
  </w:style>
  <w:style w:type="character" w:styleId="Titlu2Caracter" w:customStyle="1">
    <w:name w:val="Titlu 2 Caracter"/>
    <w:basedOn w:val="Fontdeparagrafimplicit"/>
    <w:link w:val="Titlu2"/>
    <w:uiPriority w:val="9"/>
    <w:rsid w:val="002A624A"/>
    <w:rPr>
      <w:rFonts w:cstheme="majorBidi" w:eastAsiaTheme="majorEastAsia"/>
      <w:b w:val="1"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 w:val="1"/>
    <w:uiPriority w:val="10"/>
    <w:qFormat w:val="1"/>
    <w:rsid w:val="00CB40A4"/>
    <w:pPr>
      <w:spacing w:after="0" w:line="240" w:lineRule="auto"/>
      <w:contextualSpacing w:val="1"/>
      <w:jc w:val="center"/>
    </w:pPr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character" w:styleId="TitluCaracter" w:customStyle="1">
    <w:name w:val="Titlu Caracter"/>
    <w:basedOn w:val="Fontdeparagrafimplicit"/>
    <w:link w:val="Titlu"/>
    <w:uiPriority w:val="10"/>
    <w:rsid w:val="00CB40A4"/>
    <w:rPr>
      <w:rFonts w:cstheme="majorBidi" w:eastAsiaTheme="majorEastAsia"/>
      <w:b w:val="1"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AntetCaracter" w:customStyle="1">
    <w:name w:val="Antet Caracter"/>
    <w:basedOn w:val="Fontdeparagrafimplicit"/>
    <w:link w:val="Antet"/>
    <w:uiPriority w:val="99"/>
    <w:rsid w:val="002A624A"/>
    <w:rPr>
      <w:color w:val="595959" w:themeColor="text1" w:themeTint="0000A6"/>
    </w:rPr>
  </w:style>
  <w:style w:type="paragraph" w:styleId="Subsol">
    <w:name w:val="footer"/>
    <w:basedOn w:val="Normal"/>
    <w:link w:val="SubsolCaracter"/>
    <w:uiPriority w:val="99"/>
    <w:unhideWhenUsed w:val="1"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styleId="SubsolCaracter" w:customStyle="1">
    <w:name w:val="Subsol Caracter"/>
    <w:basedOn w:val="Fontdeparagrafimplicit"/>
    <w:link w:val="Subsol"/>
    <w:uiPriority w:val="99"/>
    <w:rsid w:val="002A624A"/>
    <w:rPr>
      <w:color w:val="595959" w:themeColor="text1" w:themeTint="0000A6"/>
    </w:rPr>
  </w:style>
  <w:style w:type="table" w:styleId="Tabelgril">
    <w:name w:val="Table Grid"/>
    <w:basedOn w:val="TabelNormal"/>
    <w:uiPriority w:val="39"/>
    <w:rsid w:val="000905D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ild7Dp261XiMLXa4LB34OetfA==">CgMxLjAyCGguZ2pkZ3hzOAByITFoaFFCRnVjaGRlT3JFWnRJT1NEQ09hWEVqYkI0NWV3aQ==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2023-06-27T13:25:00Z</dcterms:created>
  <dc:creator>Biclea Diana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