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b="0" l="0" r="0" t="0"/>
            <wp:wrapSquare wrapText="bothSides" distB="0" distT="0" distL="114300" distR="114300"/>
            <wp:docPr id="22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0557" cy="106708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3144520</wp:posOffset>
                </wp:positionV>
                <wp:extent cx="3609975" cy="2131060"/>
                <wp:effectExtent b="0" l="0" r="0" t="0"/>
                <wp:wrapSquare wrapText="bothSides" distB="45720" distT="45720" distL="114300" distR="114300"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545775" y="2719233"/>
                          <a:ext cx="3600450" cy="212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Poszukiwanie skarbów w kształtach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3144520</wp:posOffset>
                </wp:positionV>
                <wp:extent cx="3609975" cy="2131060"/>
                <wp:effectExtent b="0" l="0" r="0" t="0"/>
                <wp:wrapSquare wrapText="bothSides" distB="45720" distT="45720" distL="114300" distR="114300"/>
                <wp:docPr id="2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9975" cy="21310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4998720</wp:posOffset>
                </wp:positionV>
                <wp:extent cx="2666365" cy="673735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17580" y="3447895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BETI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4998720</wp:posOffset>
                </wp:positionV>
                <wp:extent cx="2666365" cy="673735"/>
                <wp:effectExtent b="0" l="0" r="0" t="0"/>
                <wp:wrapSquare wrapText="bothSides" distB="45720" distT="45720" distL="114300" distR="114300"/>
                <wp:docPr id="2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6698f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671513</wp:posOffset>
                </wp:positionH>
                <wp:positionV relativeFrom="page">
                  <wp:posOffset>1433513</wp:posOffset>
                </wp:positionV>
                <wp:extent cx="6393073" cy="1838325"/>
                <wp:effectExtent b="0" l="0" r="0" t="0"/>
                <wp:wrapNone/>
                <wp:docPr id="2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154226" y="2865600"/>
                          <a:ext cx="6383548" cy="18288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671513</wp:posOffset>
                </wp:positionH>
                <wp:positionV relativeFrom="page">
                  <wp:posOffset>1433513</wp:posOffset>
                </wp:positionV>
                <wp:extent cx="6393073" cy="1838325"/>
                <wp:effectExtent b="0" l="0" r="0" t="0"/>
                <wp:wrapNone/>
                <wp:docPr id="22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3073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56698f"/>
          <w:sz w:val="24"/>
          <w:szCs w:val="24"/>
          <w:u w:val="none"/>
          <w:shd w:fill="auto" w:val="clear"/>
          <w:vertAlign w:val="baseline"/>
          <w:rtl w:val="0"/>
        </w:rPr>
        <w:t xml:space="preserve">Tytuł scenariusza/nazwa gry: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 Poszukiwanie skarbów w kształtach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56698f"/>
          <w:sz w:val="24"/>
          <w:szCs w:val="24"/>
          <w:u w:val="none"/>
          <w:shd w:fill="auto" w:val="clear"/>
          <w:vertAlign w:val="baseline"/>
          <w:rtl w:val="0"/>
        </w:rPr>
        <w:t xml:space="preserve">Wiek dzieci (uczniowie szkół podstawowych):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6-7 lat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Czas gry: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30-40 minut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Rule="auto"/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Treść/tematyka:</w:t>
      </w:r>
      <w:r w:rsidDel="00000000" w:rsidR="00000000" w:rsidRPr="00000000">
        <w:rPr>
          <w:rtl w:val="0"/>
        </w:rPr>
        <w:t xml:space="preserve"> Geometria</w:t>
      </w:r>
    </w:p>
    <w:p w:rsidR="00000000" w:rsidDel="00000000" w:rsidP="00000000" w:rsidRDefault="00000000" w:rsidRPr="00000000" w14:paraId="00000006">
      <w:pPr>
        <w:spacing w:after="240" w:lineRule="auto"/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Cel ćwiczenia: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opisywanie, budowanie i porównywanie wzorów geometrycznych.</w:t>
      </w:r>
    </w:p>
    <w:p w:rsidR="00000000" w:rsidDel="00000000" w:rsidP="00000000" w:rsidRDefault="00000000" w:rsidRPr="00000000" w14:paraId="00000007">
      <w:pPr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Wprowadzenie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Poszukiwanie skarbów w kształtach to ekscytująca i pouczająca gra, która pomaga dzieciom rozwijać rozumienie wzorów geometrycznych podczas korzystania z robota do odkrywania otoczenia i interakcji z nim. Ta gra jest idealna dla dzieci w wieku od 6 do 7 lat, które uczą się geometrii i rozumowania przestrzennego i które lubią praktyczne doświadczenia edukacyjne. Granie w grę Poszukiwanie skarbów w kształtach może przynieść kilka korzyści w nauce dzieci. Po pierwsze, pomaga rozwijać umiejętności rozumowania przestrzennego, umożliwiając wizualizację i tworzenie wzorów geometrycznych za pomocą robota. Po drugie, zachęca do pracy zespołowej i współpracy, ponieważ dzieci pracują razem, aby znaleźć karty skarbów i zbudować wzory. Dodatkowo wspiera rozwój ich umiejętności programowania i rozwiązywania problemów, gdy programują robota, aby poruszał się w określonych kierunkach w celu zbudowania wzoru. Wreszcie, może pomóc rozwinąć ich pewność siebie i entuzjazm do nauki, ponieważ angażują się w zabawne i interaktywne zajęcia, które łączą robotykę i matematykę.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Zasoby: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Programowalny robot</w:t>
      </w:r>
      <w:r w:rsidDel="00000000" w:rsidR="00000000" w:rsidRPr="00000000">
        <w:rPr>
          <w:rtl w:val="0"/>
        </w:rPr>
        <w:t xml:space="preserve">, który może poruszać się w różnych kierunkach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Siatka lub mata:</w:t>
      </w:r>
      <w:r w:rsidDel="00000000" w:rsidR="00000000" w:rsidRPr="00000000">
        <w:rPr>
          <w:rtl w:val="0"/>
        </w:rPr>
        <w:t xml:space="preserve"> z różnymi kształtami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Karta skarbów:</w:t>
      </w:r>
      <w:r w:rsidDel="00000000" w:rsidR="00000000" w:rsidRPr="00000000">
        <w:rPr>
          <w:rtl w:val="0"/>
        </w:rPr>
        <w:t xml:space="preserve"> z obrazkami przedstawiającymi określone wzory geometryczne.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Szczegółowy opis scenariusza</w:t>
      </w:r>
    </w:p>
    <w:p w:rsidR="00000000" w:rsidDel="00000000" w:rsidP="00000000" w:rsidRDefault="00000000" w:rsidRPr="00000000" w14:paraId="0000000F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Poszukiwanie skarbów w kształtach odbywa się w klasie lub na placu zabaw, gdzie dzieci mają dostęp do siatki lub maty, kilku kart skarbów i programowalnego robota.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Na początku gry dzieci zostaną podzielone na dwu- lub trzyosobowe zespoły i otrzymają zestaw kart skarbów, które są ukryte wokół obszaru gry. Każda karta skarbów będzie zawierać obrazek przedstawiający określony wzór geometryczny, taką jak kwadrat, trójkąt lub okrąg, a zadaniem dzieci będzie odnalezienie wszystkich kart skarbów i zbudowanie odpowiednich wzorów za pomocą robota.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Gdy dzieci zdobędą swoje karty skarbów, będą na zmianę programować robota, aby poruszał się od kształtu do kształtu, budując wzór w miarę postępów. Na przykład, jeśli pierwsza karta skarbu pokazuje wzór składający się z trzech kwadratów w rzędzie, dzieci zaprogramują robota tak, aby przesunął się o trzy pola do przodu, skręcił w prawo, przesunął się o kolejne trzy pola do przodu, ponownie skręcił w prawo i tak dalej, aż wzór zostanie ukończony.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Po zbudowaniu wzoru dzieci określą jego nazwę i opiszą, w jaki sposób został zbudowany. Mogą również zostać poproszone o zidentyfikowanie wszelkich wzorców, które zauważą w układzie kształtów, takich jak symetria lub powtórzenia.</w:t>
      </w:r>
    </w:p>
    <w:p w:rsidR="00000000" w:rsidDel="00000000" w:rsidP="00000000" w:rsidRDefault="00000000" w:rsidRPr="00000000" w14:paraId="00000013">
      <w:pPr>
        <w:rPr>
          <w:b w:val="1"/>
          <w:smallCaps w:val="1"/>
        </w:rPr>
      </w:pPr>
      <w:r w:rsidDel="00000000" w:rsidR="00000000" w:rsidRPr="00000000">
        <w:rPr>
          <w:rtl w:val="0"/>
        </w:rPr>
        <w:t xml:space="preserve">Gra trwa do momentu odnalezienia wszystkich kart skarbów i zbudowania wszystkich wzorów. Drużyna, która znajdzie i zbuduje wszystkie wzory w najkrótszym czasie, zostaje ogłoszona zwycięzcą.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Kroki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Przed rozpoczęciem gry przygotuj karty skarbów z obrazkami konkretnych wzorów geometrycznych. Każda karta powinna mieć obrazek wzoru złożonego z różnych kształtów (np. trójkąt, kwadrat, trójkąt, kwadrat itp.).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Ukryj karty skarbów w pokoju lub na zewnątrz.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Podziel dzieci na zespoły i wyjaśnij, że wybierają się na poszukiwanie skarbów w postaci kształtów. Ich zadaniem jest znalezienie kart skarbów i odtworzenie wzorów na siatce lub macie za pomocą robota.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Pierwsza drużyna, która znajdzie kartę skarbów, musi zaprogramować robota tak, aby poruszał się do każdego kształtu na karcie, budując wzór w miarę postępów. Mogą używać klawiszy kierunkowych na robocie, aby przesuwać go od kształtu do kształtu, budując wzór w miarę postępów.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Gdy drużyna zbuduje wzór, musi podać jego nazwę i opisać, w jaki sposób został zbudowany. Na przykład mogą powiedzieć: „To jest wzór kwadrat-trójkąt, który zaczyna się od kwadratu, następnie zawiera trójkąt, a potem kolejny kwadrat”.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Pozostałe drużyny mogą następnie sprawdzić, czy wzór jest poprawny, porównując go z obrazkiem na karcie skarbu.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Gra trwa do momentu znalezienia wszystkich kart skarbów i zbudowania wzorów.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Wskazówki i porady dla nauczycieli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Planuj z wyprzedzeniem: Przed rozpoczęciem gry zaplanuj układ obszaru gry i rozmieszczenie kart skarbów. Upewnij się, że obszar jest wolny od przeszkód, a karty skarbów są dobrze ukryte.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Używaj prostych wzorów: W przypadku młodszych dzieci lub tych, które dopiero poznają wzory geometryczne, zacznij od prostych wzorów, takich jak rząd kwadratów lub trójkątów. W miarę jak dzieci zapoznają się z grą, można stopniowo zwiększać złożoność wzorów.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Zachęcaj do pracy zespołowej: Zachęcaj dzieci do współpracy w parach lub małych grupach w celu znalezienia i zbudowania wzorów. Pomoże im to rozwinąć umiejętności pracy zespołowej i współpracy.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Udzielaj wskazówek: Gdy dzieci budują wzory, udzielaj im wskazówek i informacji zwrotnych, aby pomóc im pozostać na dobrej drodze i zidentyfikować wszelkie błędy lub pomyłki.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Świętowanie osiągnięć: Świętuj osiągnięcia dzieci związane z prawidłowym odnalezieniem i zbudowaniem wzorów. Zachęć je do zastanowienia się nad tym, czego się nauczyły i jak mogą się poprawić następnym razem.</w:t>
      </w:r>
    </w:p>
    <w:p w:rsidR="00000000" w:rsidDel="00000000" w:rsidP="00000000" w:rsidRDefault="00000000" w:rsidRPr="00000000" w14:paraId="00000022">
      <w:pPr>
        <w:rPr>
          <w:b w:val="1"/>
          <w:smallCaps w:val="1"/>
        </w:rPr>
      </w:pPr>
      <w:r w:rsidDel="00000000" w:rsidR="00000000" w:rsidRPr="00000000">
        <w:rPr>
          <w:rtl w:val="0"/>
        </w:rPr>
        <w:t xml:space="preserve">Efektywne wykorzystanie technologii: Upewnij się, że robot i obszar gry są prawidłowo ustawione i że technologia działa prawidłowo. Jeśli wystąpią jakiekolwiek trudności techniczne, przygotuj plan awaryjny, aby gra mogła być kontynuowana bez zakłóceń.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pgSz w:h="16838" w:w="11906" w:orient="portrait"/>
      <w:pgMar w:bottom="1418" w:top="872" w:left="1418" w:right="1418" w:header="824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95959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95959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25877</wp:posOffset>
          </wp:positionH>
          <wp:positionV relativeFrom="page">
            <wp:posOffset>43131</wp:posOffset>
          </wp:positionV>
          <wp:extent cx="7429964" cy="1310688"/>
          <wp:effectExtent b="0" l="0" r="0" t="0"/>
          <wp:wrapSquare wrapText="bothSides" distB="0" distT="0" distL="114300" distR="114300"/>
          <wp:docPr id="22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595959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300" w:lineRule="auto"/>
      <w:jc w:val="center"/>
    </w:pPr>
    <w:rPr>
      <w:b w:val="1"/>
      <w:smallCaps w:val="1"/>
      <w:color w:val="1399b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100" w:before="240" w:lineRule="auto"/>
    </w:pPr>
    <w:rPr>
      <w:b w:val="1"/>
      <w:color w:val="56698f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b w:val="1"/>
      <w:color w:val="ffffff"/>
      <w:sz w:val="72"/>
      <w:szCs w:val="72"/>
    </w:rPr>
  </w:style>
  <w:style w:type="paragraph" w:styleId="Normalny" w:default="1">
    <w:name w:val="Normal"/>
    <w:qFormat w:val="1"/>
    <w:rsid w:val="00CB40A4"/>
    <w:rPr>
      <w:color w:val="595959" w:themeColor="text1" w:themeTint="0000A6"/>
    </w:rPr>
  </w:style>
  <w:style w:type="paragraph" w:styleId="Nagwek1">
    <w:name w:val="heading 1"/>
    <w:basedOn w:val="Normalny"/>
    <w:next w:val="Normalny"/>
    <w:link w:val="Nagwek1Znak"/>
    <w:uiPriority w:val="9"/>
    <w:qFormat w:val="1"/>
    <w:rsid w:val="002A624A"/>
    <w:pPr>
      <w:keepNext w:val="1"/>
      <w:keepLines w:val="1"/>
      <w:spacing w:before="300"/>
      <w:jc w:val="center"/>
      <w:outlineLvl w:val="0"/>
    </w:pPr>
    <w:rPr>
      <w:rFonts w:cstheme="majorBidi" w:eastAsiaTheme="majorEastAsia"/>
      <w:b w:val="1"/>
      <w:caps w:val="1"/>
      <w:color w:val="1399b1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 w:val="1"/>
    <w:qFormat w:val="1"/>
    <w:rsid w:val="002A624A"/>
    <w:pPr>
      <w:keepNext w:val="1"/>
      <w:keepLines w:val="1"/>
      <w:spacing w:after="100" w:before="240"/>
      <w:outlineLvl w:val="1"/>
    </w:pPr>
    <w:rPr>
      <w:rFonts w:cstheme="majorBidi" w:eastAsiaTheme="majorEastAsia"/>
      <w:b w:val="1"/>
      <w:color w:val="56698f"/>
      <w:sz w:val="28"/>
      <w:szCs w:val="26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Akapitzlist">
    <w:name w:val="List Paragraph"/>
    <w:basedOn w:val="Normalny"/>
    <w:uiPriority w:val="34"/>
    <w:qFormat w:val="1"/>
    <w:rsid w:val="00141CB5"/>
    <w:pPr>
      <w:ind w:left="720"/>
      <w:contextualSpacing w:val="1"/>
    </w:pPr>
  </w:style>
  <w:style w:type="character" w:styleId="word" w:customStyle="1">
    <w:name w:val="word"/>
    <w:basedOn w:val="Domylnaczcionkaakapitu"/>
    <w:rsid w:val="00141CB5"/>
  </w:style>
  <w:style w:type="character" w:styleId="Hipercze">
    <w:name w:val="Hyperlink"/>
    <w:basedOn w:val="Domylnaczcionkaakapitu"/>
    <w:uiPriority w:val="99"/>
    <w:unhideWhenUsed w:val="1"/>
    <w:rsid w:val="001856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 w:val="1"/>
    <w:unhideWhenUsed w:val="1"/>
    <w:rsid w:val="00185637"/>
    <w:rPr>
      <w:color w:val="605e5c"/>
      <w:shd w:color="auto" w:fill="e1dfdd" w:val="clear"/>
    </w:rPr>
  </w:style>
  <w:style w:type="paragraph" w:styleId="NormalnyWeb">
    <w:name w:val="Normal (Web)"/>
    <w:basedOn w:val="Normalny"/>
    <w:uiPriority w:val="99"/>
    <w:unhideWhenUsed w:val="1"/>
    <w:rsid w:val="003525D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styleId="Nagwek1Znak" w:customStyle="1">
    <w:name w:val="Nagłówek 1 Znak"/>
    <w:basedOn w:val="Domylnaczcionkaakapitu"/>
    <w:link w:val="Nagwek1"/>
    <w:uiPriority w:val="9"/>
    <w:rsid w:val="002A624A"/>
    <w:rPr>
      <w:rFonts w:cstheme="majorBidi" w:eastAsiaTheme="majorEastAsia"/>
      <w:b w:val="1"/>
      <w:caps w:val="1"/>
      <w:color w:val="1399b1"/>
      <w:sz w:val="28"/>
      <w:szCs w:val="32"/>
    </w:rPr>
  </w:style>
  <w:style w:type="paragraph" w:styleId="Bezodstpw">
    <w:name w:val="No Spacing"/>
    <w:uiPriority w:val="1"/>
    <w:qFormat w:val="1"/>
    <w:rsid w:val="00CB40A4"/>
    <w:pPr>
      <w:spacing w:after="0" w:line="240" w:lineRule="auto"/>
    </w:pPr>
    <w:rPr>
      <w:color w:val="595959" w:themeColor="text1" w:themeTint="0000A6"/>
      <w:sz w:val="24"/>
    </w:rPr>
  </w:style>
  <w:style w:type="character" w:styleId="Uwydatnienie">
    <w:name w:val="Emphasis"/>
    <w:basedOn w:val="Domylnaczcionkaakapitu"/>
    <w:uiPriority w:val="20"/>
    <w:qFormat w:val="1"/>
    <w:rsid w:val="00CB40A4"/>
    <w:rPr>
      <w:rFonts w:asciiTheme="minorHAnsi" w:hAnsiTheme="minorHAnsi"/>
      <w:b w:val="1"/>
      <w:i w:val="1"/>
      <w:iCs w:val="1"/>
      <w:color w:val="56698f"/>
    </w:rPr>
  </w:style>
  <w:style w:type="character" w:styleId="Wyrnieniedelikatne">
    <w:name w:val="Subtle Emphasis"/>
    <w:basedOn w:val="Domylnaczcionkaakapitu"/>
    <w:uiPriority w:val="19"/>
    <w:qFormat w:val="1"/>
    <w:rsid w:val="00CB40A4"/>
    <w:rPr>
      <w:i w:val="1"/>
      <w:iCs w:val="1"/>
      <w:color w:val="404040" w:themeColor="text1" w:themeTint="0000BF"/>
    </w:rPr>
  </w:style>
  <w:style w:type="character" w:styleId="Nagwek2Znak" w:customStyle="1">
    <w:name w:val="Nagłówek 2 Znak"/>
    <w:basedOn w:val="Domylnaczcionkaakapitu"/>
    <w:link w:val="Nagwek2"/>
    <w:uiPriority w:val="9"/>
    <w:rsid w:val="002A624A"/>
    <w:rPr>
      <w:rFonts w:cstheme="majorBidi" w:eastAsiaTheme="majorEastAsia"/>
      <w:b w:val="1"/>
      <w:color w:val="56698f"/>
      <w:sz w:val="28"/>
      <w:szCs w:val="26"/>
    </w:rPr>
  </w:style>
  <w:style w:type="paragraph" w:styleId="Tytu">
    <w:name w:val="Title"/>
    <w:basedOn w:val="Normalny"/>
    <w:next w:val="Normalny"/>
    <w:link w:val="TytuZnak"/>
    <w:autoRedefine w:val="1"/>
    <w:uiPriority w:val="10"/>
    <w:qFormat w:val="1"/>
    <w:rsid w:val="00CB40A4"/>
    <w:pPr>
      <w:spacing w:after="0" w:line="240" w:lineRule="auto"/>
      <w:contextualSpacing w:val="1"/>
      <w:jc w:val="center"/>
    </w:pPr>
    <w:rPr>
      <w:rFonts w:cstheme="majorBidi" w:eastAsiaTheme="majorEastAsia"/>
      <w:b w:val="1"/>
      <w:color w:val="ffffff" w:themeColor="background1"/>
      <w:spacing w:val="-10"/>
      <w:kern w:val="28"/>
      <w:sz w:val="72"/>
      <w:szCs w:val="56"/>
    </w:rPr>
  </w:style>
  <w:style w:type="character" w:styleId="TytuZnak" w:customStyle="1">
    <w:name w:val="Tytuł Znak"/>
    <w:basedOn w:val="Domylnaczcionkaakapitu"/>
    <w:link w:val="Tytu"/>
    <w:uiPriority w:val="10"/>
    <w:rsid w:val="00CB40A4"/>
    <w:rPr>
      <w:rFonts w:cstheme="majorBidi" w:eastAsiaTheme="majorEastAsia"/>
      <w:b w:val="1"/>
      <w:color w:val="ffffff" w:themeColor="background1"/>
      <w:spacing w:val="-10"/>
      <w:kern w:val="28"/>
      <w:sz w:val="72"/>
      <w:szCs w:val="56"/>
    </w:rPr>
  </w:style>
  <w:style w:type="paragraph" w:styleId="Nagwek">
    <w:name w:val="header"/>
    <w:basedOn w:val="Normalny"/>
    <w:link w:val="NagwekZnak"/>
    <w:uiPriority w:val="99"/>
    <w:unhideWhenUsed w:val="1"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2A624A"/>
    <w:rPr>
      <w:color w:val="595959" w:themeColor="text1" w:themeTint="0000A6"/>
    </w:rPr>
  </w:style>
  <w:style w:type="paragraph" w:styleId="Stopka">
    <w:name w:val="footer"/>
    <w:basedOn w:val="Normalny"/>
    <w:link w:val="StopkaZnak"/>
    <w:uiPriority w:val="99"/>
    <w:unhideWhenUsed w:val="1"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2A624A"/>
    <w:rPr>
      <w:color w:val="595959" w:themeColor="text1" w:themeTint="0000A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VpXUvKyNLrBFvh6fiRlHvv95fw==">CgMxLjAyCGguZ2pkZ3hzOAByITF6SWtvSmt5ZmlxLXdOaTNmWHFMWlNXSjZhMXRET1hHQg==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2023-07-04T09:40:00Z</dcterms:created>
  <dc:creator>Biclea Diana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